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1E38" w:rsidRPr="00BB11D1" w:rsidRDefault="00F31E38" w:rsidP="00E71F75">
      <w:pPr>
        <w:pStyle w:val="a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BB11D1">
        <w:rPr>
          <w:rFonts w:ascii="Times New Roman" w:hAnsi="Times New Roman" w:cs="Times New Roman"/>
          <w:b/>
          <w:bCs/>
          <w:sz w:val="28"/>
          <w:szCs w:val="28"/>
          <w:lang w:val="uk-UA"/>
        </w:rPr>
        <w:t>Понад 3,3 млрд євро інвестовано в «чисту» енергетику та енергоефективність України за 5 років завдяки ефективним законодавчим змінам</w:t>
      </w:r>
    </w:p>
    <w:p w:rsidR="00F31E38" w:rsidRPr="00E71F75" w:rsidRDefault="00F31E38" w:rsidP="00E71F75">
      <w:pPr>
        <w:pStyle w:val="a"/>
        <w:jc w:val="center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E71F75">
        <w:rPr>
          <w:rFonts w:ascii="Times New Roman" w:hAnsi="Times New Roman" w:cs="Times New Roman"/>
          <w:b/>
          <w:bCs/>
          <w:sz w:val="26"/>
          <w:szCs w:val="26"/>
          <w:lang w:val="uk-U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9.25pt;height:298.5pt">
            <v:imagedata r:id="rId7" o:title=""/>
          </v:shape>
        </w:pict>
      </w: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На прес-конференції 20 серпня у Будинку Уряду Голова Держенергоефективності Сергій Савчук окреслив журналістам результати роботи за 5 років та ініціативи, завдяки яким українські сім’ї зменшують комунальні платежі, а бізнес інвестує у вітчизняну «зелену» електро- та теплоенергетику.</w:t>
      </w: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Серед ключових показників роботи: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На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6 млрд м</w:t>
      </w:r>
      <w:r w:rsidRPr="00D10E75">
        <w:rPr>
          <w:rFonts w:ascii="Times New Roman" w:hAnsi="Times New Roman" w:cs="Times New Roman"/>
          <w:b/>
          <w:bCs/>
          <w:sz w:val="26"/>
          <w:szCs w:val="26"/>
          <w:vertAlign w:val="superscript"/>
          <w:lang w:val="uk-UA"/>
        </w:rPr>
        <w:t>3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у рік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зменшено споживання газу населенням, бюджетною сферою та теплокомуненерго у 2018 р. порівняно із 2014 роком. Таким чином, Україна щороку заощаджує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близько 1,2 млрд євро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>, не витрачаючи їх на закупівлю блакитного палива.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3,3 млрд євро залучених інвестицій у відновлювану енергетику та енергоефективність 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>завдяки ефективним законодавчим стимулам.</w:t>
      </w:r>
    </w:p>
    <w:p w:rsidR="00F31E38" w:rsidRPr="00D10E75" w:rsidRDefault="00F31E38" w:rsidP="00E71F75">
      <w:pPr>
        <w:pStyle w:val="a"/>
        <w:spacing w:before="12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Найбільше інвестицій вкладено у «чисту» енергетику:</w:t>
      </w:r>
    </w:p>
    <w:p w:rsidR="00F31E38" w:rsidRPr="00D10E75" w:rsidRDefault="00F31E38" w:rsidP="00E71F75">
      <w:pPr>
        <w:pStyle w:val="a"/>
        <w:numPr>
          <w:ilvl w:val="0"/>
          <w:numId w:val="14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понад 2,5 млрд євро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— у близько 3000 МВт потужностей відновлюваної електроенергетики;</w:t>
      </w:r>
    </w:p>
    <w:p w:rsidR="00F31E38" w:rsidRPr="00D10E75" w:rsidRDefault="00F31E38" w:rsidP="00E71F75">
      <w:pPr>
        <w:pStyle w:val="a"/>
        <w:numPr>
          <w:ilvl w:val="0"/>
          <w:numId w:val="14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більше 500 млн євро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— у понад 2200 МВт нових потужностей, що генерують тепло «не з газу».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Близько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650 тис. родин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(а це еквівалентно двом регіонам України) утеплилися завдяки співфінансуванню «теплих кредитів» із державного та місцевих бюджетів. Тепер усі ці родини заощаджують до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70%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на комунальних послугах, а їхня нерухомість зросла у ціні приблизно на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30%.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Ще 3 тис. ОСББ можуть залучити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до 1 млрд грн «теплих кредитів»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у цьому році. 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У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35 разів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збільшено обсяг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фінансування місцевих програм здешевлення «теплих кредитів»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>: із 5 млн грн у 2014 р. до близько 170 млн грн у 2019 році.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Вперше запроваджено ЕСКО-механізм, в рамках якого приватні інвестори уклали вже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понад 340 контрактів вартістю близько 500 млн грн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для утеплення бюджетних установ. Економія енерговитрат сягає 70% без жодної бюджетної інвестиції.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У 3 рази збільшено кількість місцевих органів влади, де впроваджено енергомоніторинг у бюджетній сфері: із 60 таких органів влади у 2017 р. до 210 у 2019 році.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За участю Держенергоефективності розроблено та Парламентом прийнято у 2017 р.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Закон України № 2119-VIII щодо запровадження 100% обліку тепла і води в країні. 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Вперше із врахуванням кращих європейських практик розпочато сертифікацію енергоефективності будівель.</w:t>
      </w:r>
    </w:p>
    <w:p w:rsidR="00F31E38" w:rsidRPr="00D10E75" w:rsidRDefault="00F31E38" w:rsidP="00E71F75">
      <w:pPr>
        <w:pStyle w:val="a"/>
        <w:numPr>
          <w:ilvl w:val="0"/>
          <w:numId w:val="16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вже атестовано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близько 1300 енергоаудиторів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>, які мають право проводити сертифікацію будівель та обстеження інженерних систем;</w:t>
      </w:r>
    </w:p>
    <w:p w:rsidR="00F31E38" w:rsidRPr="00D10E75" w:rsidRDefault="00F31E38" w:rsidP="00E71F75">
      <w:pPr>
        <w:pStyle w:val="a"/>
        <w:numPr>
          <w:ilvl w:val="0"/>
          <w:numId w:val="16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більше 400 перших будівель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отримали енергетичні сертифікати.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За ініціативи Держенергоефективності розроблено Концепцію стимулювання енергетичної утилізації сміття та низку законопроектів, що дозволять:</w:t>
      </w:r>
    </w:p>
    <w:p w:rsidR="00F31E38" w:rsidRPr="00D10E75" w:rsidRDefault="00F31E38" w:rsidP="00E71F75">
      <w:pPr>
        <w:pStyle w:val="a"/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інвесторам вкладати кошти у так звані «waste-to-energy plants», як в Данії, Великобританії та інших країнах;</w:t>
      </w:r>
    </w:p>
    <w:p w:rsidR="00F31E38" w:rsidRPr="00D10E75" w:rsidRDefault="00F31E38" w:rsidP="00E71F75">
      <w:pPr>
        <w:pStyle w:val="a"/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заміщувати в еквіваленті до 1 млрд куб м газу щороку;</w:t>
      </w:r>
    </w:p>
    <w:p w:rsidR="00F31E38" w:rsidRPr="00D10E75" w:rsidRDefault="00F31E38" w:rsidP="00E71F75">
      <w:pPr>
        <w:pStyle w:val="a"/>
        <w:numPr>
          <w:ilvl w:val="0"/>
          <w:numId w:val="15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і, як результат, зменшити кількість сміттєзвалищ.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У 2018 р. ініційовано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приєднання України до Міжнародного агентства із відновлюваних джерел енергії (IRENA). 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Запроваджено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Інвестиційну карту «UAMAP» </w:t>
      </w:r>
      <w:r>
        <w:rPr>
          <w:rFonts w:ascii="Times New Roman" w:hAnsi="Times New Roman" w:cs="Times New Roman"/>
          <w:sz w:val="26"/>
          <w:szCs w:val="26"/>
          <w:lang w:val="uk-UA"/>
        </w:rPr>
        <w:t>(</w:t>
      </w:r>
      <w:hyperlink r:id="rId8" w:history="1">
        <w:r w:rsidRPr="0075265F">
          <w:rPr>
            <w:rStyle w:val="Hyperlink"/>
            <w:rFonts w:ascii="Times New Roman" w:hAnsi="Times New Roman" w:cs="Times New Roman"/>
            <w:sz w:val="26"/>
            <w:szCs w:val="26"/>
            <w:lang w:val="uk-UA"/>
          </w:rPr>
          <w:t>https://www.uamap.org.ua</w:t>
        </w:r>
      </w:hyperlink>
      <w:r>
        <w:rPr>
          <w:rFonts w:ascii="Times New Roman" w:hAnsi="Times New Roman" w:cs="Times New Roman"/>
          <w:sz w:val="26"/>
          <w:szCs w:val="26"/>
          <w:lang w:val="uk-UA"/>
        </w:rPr>
        <w:t xml:space="preserve">), 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де опубліковано понад 100 потенційних проектів на суму понад 4 млрд євро. 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Спільно із МЗС Фінляндії та НЕФКО засновано та вже працює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Фінсько-український трастовий фонд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 обсягом 6 млн євро для фінансування підготовки проектів з енергоефективності та відновлюваної енергетики. Вже опрацьовуються заявки, а фінські компанії зможуть стати співінвесторами нових проектів.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За участю Держенергоефективності розроблено та Парламентом прийнято Закон України від 25.04.2019 № 2712-VIII щодо переходу на систему аукціонів у відновлюваній енергетиці.</w:t>
      </w:r>
    </w:p>
    <w:p w:rsidR="00F31E38" w:rsidRPr="00D10E75" w:rsidRDefault="00F31E38" w:rsidP="00E71F75">
      <w:pPr>
        <w:pStyle w:val="a"/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Близько 12 тис. родин перейшли на електроенергію з енергії сонця. Для порівняння у 2014 р. лише близько 20 домогосподарств мали сонячні панелі. </w:t>
      </w: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Усі зазначені ініціативи сприяють не лише зменшенню енергоспоживання та оптимізації енерговитрат громад, а й формують нову енергоефективну культуру у суспільстві.</w:t>
      </w: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31E38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Враховуючи набутий досвід, Держенергоефективності продовжує працювати над пріоритетними завданнями:</w:t>
      </w:r>
    </w:p>
    <w:p w:rsidR="00F31E38" w:rsidRPr="00D10E75" w:rsidRDefault="00F31E38" w:rsidP="00E71F75">
      <w:pPr>
        <w:pStyle w:val="a"/>
        <w:jc w:val="both"/>
        <w:rPr>
          <w:rFonts w:ascii="Times New Roman" w:hAnsi="Times New Roman" w:cs="Times New Roman"/>
          <w:sz w:val="26"/>
          <w:szCs w:val="26"/>
          <w:lang w:val="uk-UA"/>
        </w:rPr>
      </w:pP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р</w:t>
      </w:r>
      <w:r w:rsidRPr="00D10E75">
        <w:rPr>
          <w:rFonts w:ascii="Times New Roman" w:hAnsi="Times New Roman" w:cs="Times New Roman"/>
          <w:sz w:val="26"/>
          <w:szCs w:val="26"/>
        </w:rPr>
        <w:t>озробка ново</w:t>
      </w:r>
      <w:r w:rsidRPr="00D10E75">
        <w:rPr>
          <w:rFonts w:ascii="Times New Roman" w:hAnsi="Times New Roman" w:cs="Times New Roman"/>
          <w:sz w:val="26"/>
          <w:szCs w:val="26"/>
          <w:lang w:val="uk-UA"/>
        </w:rPr>
        <w:t xml:space="preserve">ї 5-річної цільової програми для населення, бюджетної сфери та промисловості; </w:t>
      </w: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розвиток системи аукціонів;</w:t>
      </w: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впровадження механізму стимулювання підприємств до енергоефективних заходів та переходу на відновлювані джерела енергії;</w:t>
      </w: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розвиток сфери енергетичної утилізації сміття;</w:t>
      </w: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створення ринку твердого біопалива;</w:t>
      </w: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розвиток сфери виробництва та використання рідких біопалив;</w:t>
      </w:r>
    </w:p>
    <w:p w:rsidR="00F31E38" w:rsidRPr="00D10E75" w:rsidRDefault="00F31E38" w:rsidP="00E71F75">
      <w:pPr>
        <w:pStyle w:val="a"/>
        <w:numPr>
          <w:ilvl w:val="0"/>
          <w:numId w:val="2"/>
        </w:numPr>
        <w:spacing w:after="120"/>
        <w:ind w:left="0" w:firstLine="0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sz w:val="26"/>
          <w:szCs w:val="26"/>
          <w:lang w:val="uk-UA"/>
        </w:rPr>
        <w:t>запровадження ринку «зелених» облігацій.</w:t>
      </w:r>
    </w:p>
    <w:p w:rsidR="00F31E38" w:rsidRPr="00D10E75" w:rsidRDefault="00F31E38" w:rsidP="00E71F75">
      <w:pPr>
        <w:pStyle w:val="a"/>
        <w:spacing w:before="120"/>
        <w:jc w:val="both"/>
        <w:rPr>
          <w:rFonts w:ascii="Times New Roman" w:hAnsi="Times New Roman" w:cs="Times New Roman"/>
          <w:i/>
          <w:iCs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Детальна інформація по зазначеним питанням – у презентації: </w:t>
      </w:r>
      <w:hyperlink r:id="rId9" w:history="1">
        <w:r w:rsidRPr="00D10E75">
          <w:rPr>
            <w:rStyle w:val="Hyperlink"/>
            <w:rFonts w:ascii="Times New Roman" w:hAnsi="Times New Roman" w:cs="Times New Roman"/>
            <w:i/>
            <w:iCs/>
            <w:sz w:val="26"/>
            <w:szCs w:val="26"/>
            <w:lang w:val="uk-UA"/>
          </w:rPr>
          <w:t>http://saee.gov.ua/sites/default/files/S_Savchuk_20_08_2019.pdf</w:t>
        </w:r>
      </w:hyperlink>
    </w:p>
    <w:p w:rsidR="00F31E38" w:rsidRPr="00D10E75" w:rsidRDefault="00F31E38" w:rsidP="00E71F75">
      <w:pPr>
        <w:pStyle w:val="a"/>
        <w:spacing w:before="120"/>
        <w:jc w:val="both"/>
        <w:rPr>
          <w:rFonts w:ascii="Times New Roman" w:hAnsi="Times New Roman" w:cs="Times New Roman"/>
          <w:i/>
          <w:iCs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Відеозапис прес-конференції на сайті Кабінету Міністрів України: </w:t>
      </w:r>
      <w:hyperlink r:id="rId10" w:history="1">
        <w:r w:rsidRPr="00D10E75">
          <w:rPr>
            <w:rStyle w:val="Hyperlink"/>
            <w:rFonts w:ascii="Times New Roman" w:hAnsi="Times New Roman" w:cs="Times New Roman"/>
            <w:i/>
            <w:iCs/>
            <w:sz w:val="26"/>
            <w:szCs w:val="26"/>
            <w:lang w:val="uk-UA"/>
          </w:rPr>
          <w:t>https://www.youtube.com/watch?v=IjD-Tp1dofw</w:t>
        </w:r>
      </w:hyperlink>
    </w:p>
    <w:p w:rsidR="00F31E38" w:rsidRPr="00D10E75" w:rsidRDefault="00F31E38" w:rsidP="00E71F75">
      <w:pPr>
        <w:pStyle w:val="a"/>
        <w:spacing w:before="120"/>
        <w:jc w:val="right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r w:rsidRPr="00D10E75">
        <w:rPr>
          <w:rFonts w:ascii="Times New Roman" w:hAnsi="Times New Roman" w:cs="Times New Roman"/>
          <w:i/>
          <w:iCs/>
          <w:sz w:val="26"/>
          <w:szCs w:val="26"/>
          <w:lang w:val="uk-UA"/>
        </w:rPr>
        <w:t xml:space="preserve"> </w:t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Управління комунікації та зв’язків</w:t>
      </w:r>
      <w:r>
        <w:rPr>
          <w:rFonts w:ascii="Times New Roman" w:hAnsi="Times New Roman" w:cs="Times New Roman"/>
          <w:b/>
          <w:bCs/>
          <w:sz w:val="26"/>
          <w:szCs w:val="26"/>
          <w:lang w:val="uk-UA"/>
        </w:rPr>
        <w:br/>
      </w:r>
      <w:r w:rsidRPr="00D10E75">
        <w:rPr>
          <w:rFonts w:ascii="Times New Roman" w:hAnsi="Times New Roman" w:cs="Times New Roman"/>
          <w:b/>
          <w:bCs/>
          <w:sz w:val="26"/>
          <w:szCs w:val="26"/>
          <w:lang w:val="uk-UA"/>
        </w:rPr>
        <w:t>з громадськістю</w:t>
      </w:r>
      <w:r>
        <w:rPr>
          <w:rFonts w:ascii="Times New Roman" w:hAnsi="Times New Roman" w:cs="Times New Roman"/>
          <w:b/>
          <w:bCs/>
          <w:sz w:val="26"/>
          <w:szCs w:val="26"/>
          <w:lang w:val="uk-UA"/>
        </w:rPr>
        <w:t xml:space="preserve"> Держенергоефективності</w:t>
      </w:r>
    </w:p>
    <w:sectPr w:rsidR="00F31E38" w:rsidRPr="00D10E75" w:rsidSect="00E71F75">
      <w:footerReference w:type="default" r:id="rId11"/>
      <w:pgSz w:w="11906" w:h="16838"/>
      <w:pgMar w:top="899" w:right="567" w:bottom="397" w:left="170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1E38" w:rsidRDefault="00F31E38" w:rsidP="00BA7FA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F31E38" w:rsidRDefault="00F31E38" w:rsidP="00BA7FA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1E38" w:rsidRDefault="00F31E38">
    <w:pPr>
      <w:pStyle w:val="Footer"/>
      <w:jc w:val="right"/>
      <w:rPr>
        <w:rFonts w:cs="Times New Roman"/>
      </w:rPr>
    </w:pPr>
    <w:fldSimple w:instr=" PAGE   \* MERGEFORMAT ">
      <w:r>
        <w:rPr>
          <w:noProof/>
        </w:rPr>
        <w:t>1</w:t>
      </w:r>
    </w:fldSimple>
  </w:p>
  <w:p w:rsidR="00F31E38" w:rsidRDefault="00F31E38">
    <w:pPr>
      <w:pStyle w:val="Footer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1E38" w:rsidRDefault="00F31E38" w:rsidP="00BA7FAE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F31E38" w:rsidRDefault="00F31E38" w:rsidP="00BA7FAE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24774"/>
    <w:multiLevelType w:val="hybridMultilevel"/>
    <w:tmpl w:val="CEA29E1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D0C399C"/>
    <w:multiLevelType w:val="hybridMultilevel"/>
    <w:tmpl w:val="A85A10DE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0FE21547"/>
    <w:multiLevelType w:val="hybridMultilevel"/>
    <w:tmpl w:val="E968DBF2"/>
    <w:lvl w:ilvl="0" w:tplc="AD68E47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2BE4149"/>
    <w:multiLevelType w:val="hybridMultilevel"/>
    <w:tmpl w:val="B50C0FB0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>
    <w:nsid w:val="144841E0"/>
    <w:multiLevelType w:val="hybridMultilevel"/>
    <w:tmpl w:val="BE401646"/>
    <w:lvl w:ilvl="0" w:tplc="DEAE7CF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9F554A"/>
    <w:multiLevelType w:val="hybridMultilevel"/>
    <w:tmpl w:val="7C369A44"/>
    <w:lvl w:ilvl="0" w:tplc="AD68E47C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>
    <w:nsid w:val="31D45FDC"/>
    <w:multiLevelType w:val="hybridMultilevel"/>
    <w:tmpl w:val="6FCA1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44965EAA"/>
    <w:multiLevelType w:val="hybridMultilevel"/>
    <w:tmpl w:val="D7824576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557E19EB"/>
    <w:multiLevelType w:val="hybridMultilevel"/>
    <w:tmpl w:val="106423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>
    <w:nsid w:val="55DB0363"/>
    <w:multiLevelType w:val="hybridMultilevel"/>
    <w:tmpl w:val="2F2AE1D4"/>
    <w:lvl w:ilvl="0" w:tplc="CFF0E58E">
      <w:start w:val="1"/>
      <w:numFmt w:val="bullet"/>
      <w:lvlText w:val=""/>
      <w:lvlJc w:val="left"/>
      <w:pPr>
        <w:ind w:left="2149" w:hanging="360"/>
      </w:pPr>
      <w:rPr>
        <w:rFonts w:ascii="Symbol" w:hAnsi="Symbol" w:cs="Symbol" w:hint="default"/>
      </w:rPr>
    </w:lvl>
    <w:lvl w:ilvl="1" w:tplc="04220003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589" w:hanging="360"/>
      </w:pPr>
      <w:rPr>
        <w:rFonts w:ascii="Wingdings" w:hAnsi="Wingdings" w:cs="Wingdings" w:hint="default"/>
      </w:rPr>
    </w:lvl>
    <w:lvl w:ilvl="3" w:tplc="04220001">
      <w:start w:val="1"/>
      <w:numFmt w:val="bullet"/>
      <w:lvlText w:val=""/>
      <w:lvlJc w:val="left"/>
      <w:pPr>
        <w:ind w:left="4309" w:hanging="360"/>
      </w:pPr>
      <w:rPr>
        <w:rFonts w:ascii="Symbol" w:hAnsi="Symbol" w:cs="Symbol" w:hint="default"/>
      </w:rPr>
    </w:lvl>
    <w:lvl w:ilvl="4" w:tplc="04220003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749" w:hanging="360"/>
      </w:pPr>
      <w:rPr>
        <w:rFonts w:ascii="Wingdings" w:hAnsi="Wingdings" w:cs="Wingdings" w:hint="default"/>
      </w:rPr>
    </w:lvl>
    <w:lvl w:ilvl="6" w:tplc="04220001">
      <w:start w:val="1"/>
      <w:numFmt w:val="bullet"/>
      <w:lvlText w:val=""/>
      <w:lvlJc w:val="left"/>
      <w:pPr>
        <w:ind w:left="6469" w:hanging="360"/>
      </w:pPr>
      <w:rPr>
        <w:rFonts w:ascii="Symbol" w:hAnsi="Symbol" w:cs="Symbol" w:hint="default"/>
      </w:rPr>
    </w:lvl>
    <w:lvl w:ilvl="7" w:tplc="04220003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909" w:hanging="360"/>
      </w:pPr>
      <w:rPr>
        <w:rFonts w:ascii="Wingdings" w:hAnsi="Wingdings" w:cs="Wingdings" w:hint="default"/>
      </w:rPr>
    </w:lvl>
  </w:abstractNum>
  <w:abstractNum w:abstractNumId="10">
    <w:nsid w:val="59E32FB0"/>
    <w:multiLevelType w:val="hybridMultilevel"/>
    <w:tmpl w:val="49FA67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5BD00AF2"/>
    <w:multiLevelType w:val="hybridMultilevel"/>
    <w:tmpl w:val="4E4E63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>
    <w:nsid w:val="6FDA4710"/>
    <w:multiLevelType w:val="hybridMultilevel"/>
    <w:tmpl w:val="FE2A5F96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3">
    <w:nsid w:val="70275455"/>
    <w:multiLevelType w:val="hybridMultilevel"/>
    <w:tmpl w:val="23FA767A"/>
    <w:lvl w:ilvl="0" w:tplc="CFF0E58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>
    <w:nsid w:val="7D2B2ECC"/>
    <w:multiLevelType w:val="hybridMultilevel"/>
    <w:tmpl w:val="E668B4D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7E9209FE"/>
    <w:multiLevelType w:val="hybridMultilevel"/>
    <w:tmpl w:val="0B44B32E"/>
    <w:lvl w:ilvl="0" w:tplc="EB56D914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6"/>
  </w:num>
  <w:num w:numId="3">
    <w:abstractNumId w:val="14"/>
  </w:num>
  <w:num w:numId="4">
    <w:abstractNumId w:val="11"/>
  </w:num>
  <w:num w:numId="5">
    <w:abstractNumId w:val="13"/>
  </w:num>
  <w:num w:numId="6">
    <w:abstractNumId w:val="2"/>
  </w:num>
  <w:num w:numId="7">
    <w:abstractNumId w:val="5"/>
  </w:num>
  <w:num w:numId="8">
    <w:abstractNumId w:val="4"/>
  </w:num>
  <w:num w:numId="9">
    <w:abstractNumId w:val="9"/>
  </w:num>
  <w:num w:numId="10">
    <w:abstractNumId w:val="7"/>
  </w:num>
  <w:num w:numId="11">
    <w:abstractNumId w:val="12"/>
  </w:num>
  <w:num w:numId="12">
    <w:abstractNumId w:val="15"/>
  </w:num>
  <w:num w:numId="13">
    <w:abstractNumId w:val="1"/>
  </w:num>
  <w:num w:numId="14">
    <w:abstractNumId w:val="10"/>
  </w:num>
  <w:num w:numId="15">
    <w:abstractNumId w:val="0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D62D2"/>
    <w:rsid w:val="0000479F"/>
    <w:rsid w:val="000062F9"/>
    <w:rsid w:val="00021AAE"/>
    <w:rsid w:val="000401A4"/>
    <w:rsid w:val="000412C8"/>
    <w:rsid w:val="00063896"/>
    <w:rsid w:val="00081C9A"/>
    <w:rsid w:val="000A3200"/>
    <w:rsid w:val="000C35B4"/>
    <w:rsid w:val="000D1AB1"/>
    <w:rsid w:val="000D62D2"/>
    <w:rsid w:val="00102B37"/>
    <w:rsid w:val="00103E8D"/>
    <w:rsid w:val="001057D1"/>
    <w:rsid w:val="001205A0"/>
    <w:rsid w:val="0012293C"/>
    <w:rsid w:val="00131284"/>
    <w:rsid w:val="00165B28"/>
    <w:rsid w:val="0017300E"/>
    <w:rsid w:val="00175BB7"/>
    <w:rsid w:val="00184B7F"/>
    <w:rsid w:val="001A0956"/>
    <w:rsid w:val="001B395B"/>
    <w:rsid w:val="001B7568"/>
    <w:rsid w:val="001C2F85"/>
    <w:rsid w:val="001F577C"/>
    <w:rsid w:val="0024190E"/>
    <w:rsid w:val="00241C85"/>
    <w:rsid w:val="0024674B"/>
    <w:rsid w:val="00294776"/>
    <w:rsid w:val="00295415"/>
    <w:rsid w:val="00297397"/>
    <w:rsid w:val="002C33E0"/>
    <w:rsid w:val="002C7ABA"/>
    <w:rsid w:val="002D094A"/>
    <w:rsid w:val="002F07F5"/>
    <w:rsid w:val="003256B5"/>
    <w:rsid w:val="00341B5B"/>
    <w:rsid w:val="00361C77"/>
    <w:rsid w:val="00367B45"/>
    <w:rsid w:val="003824FA"/>
    <w:rsid w:val="003A538A"/>
    <w:rsid w:val="003A5607"/>
    <w:rsid w:val="003B42A5"/>
    <w:rsid w:val="003B48FA"/>
    <w:rsid w:val="003C6108"/>
    <w:rsid w:val="003F07A2"/>
    <w:rsid w:val="0041134B"/>
    <w:rsid w:val="0041155D"/>
    <w:rsid w:val="00412E99"/>
    <w:rsid w:val="00420772"/>
    <w:rsid w:val="00424368"/>
    <w:rsid w:val="00434CF2"/>
    <w:rsid w:val="004414A9"/>
    <w:rsid w:val="00454FCC"/>
    <w:rsid w:val="004658F2"/>
    <w:rsid w:val="004D7C57"/>
    <w:rsid w:val="004E2A10"/>
    <w:rsid w:val="004E4CA8"/>
    <w:rsid w:val="004F0589"/>
    <w:rsid w:val="00501E6E"/>
    <w:rsid w:val="0050421D"/>
    <w:rsid w:val="0050448F"/>
    <w:rsid w:val="00504512"/>
    <w:rsid w:val="00522E92"/>
    <w:rsid w:val="00525CE7"/>
    <w:rsid w:val="00550742"/>
    <w:rsid w:val="00587D38"/>
    <w:rsid w:val="00591FC6"/>
    <w:rsid w:val="005A1A9E"/>
    <w:rsid w:val="005A787C"/>
    <w:rsid w:val="005B212E"/>
    <w:rsid w:val="005C3980"/>
    <w:rsid w:val="005E2C03"/>
    <w:rsid w:val="006608D3"/>
    <w:rsid w:val="00661F0C"/>
    <w:rsid w:val="006719B2"/>
    <w:rsid w:val="006731CF"/>
    <w:rsid w:val="006A4688"/>
    <w:rsid w:val="006A5BA9"/>
    <w:rsid w:val="006B1183"/>
    <w:rsid w:val="006B4A2D"/>
    <w:rsid w:val="006E2917"/>
    <w:rsid w:val="0071037C"/>
    <w:rsid w:val="007170C6"/>
    <w:rsid w:val="00722625"/>
    <w:rsid w:val="007364EB"/>
    <w:rsid w:val="00747C19"/>
    <w:rsid w:val="0075265F"/>
    <w:rsid w:val="00757BB5"/>
    <w:rsid w:val="00780695"/>
    <w:rsid w:val="0078573A"/>
    <w:rsid w:val="007871DC"/>
    <w:rsid w:val="0079036D"/>
    <w:rsid w:val="0079111B"/>
    <w:rsid w:val="007A1C4B"/>
    <w:rsid w:val="007A3B68"/>
    <w:rsid w:val="007A4393"/>
    <w:rsid w:val="007C31CF"/>
    <w:rsid w:val="007D7CAA"/>
    <w:rsid w:val="007F3923"/>
    <w:rsid w:val="007F46FF"/>
    <w:rsid w:val="007F7A7D"/>
    <w:rsid w:val="0080340F"/>
    <w:rsid w:val="008111E0"/>
    <w:rsid w:val="00851960"/>
    <w:rsid w:val="008679CC"/>
    <w:rsid w:val="00872922"/>
    <w:rsid w:val="00891889"/>
    <w:rsid w:val="00891AF7"/>
    <w:rsid w:val="008B0441"/>
    <w:rsid w:val="008D21E5"/>
    <w:rsid w:val="008F260E"/>
    <w:rsid w:val="00940ED4"/>
    <w:rsid w:val="0095175B"/>
    <w:rsid w:val="0097120E"/>
    <w:rsid w:val="0097384A"/>
    <w:rsid w:val="00991BBF"/>
    <w:rsid w:val="009D17CE"/>
    <w:rsid w:val="009E06A3"/>
    <w:rsid w:val="00A012D9"/>
    <w:rsid w:val="00A30045"/>
    <w:rsid w:val="00A422A2"/>
    <w:rsid w:val="00A67D2A"/>
    <w:rsid w:val="00A703DD"/>
    <w:rsid w:val="00AC367A"/>
    <w:rsid w:val="00AC47AA"/>
    <w:rsid w:val="00AE4B51"/>
    <w:rsid w:val="00AF2F0B"/>
    <w:rsid w:val="00B406A2"/>
    <w:rsid w:val="00B415CA"/>
    <w:rsid w:val="00B65E2D"/>
    <w:rsid w:val="00B963A8"/>
    <w:rsid w:val="00BA7FAE"/>
    <w:rsid w:val="00BB11D1"/>
    <w:rsid w:val="00BE3C3C"/>
    <w:rsid w:val="00BF1F6C"/>
    <w:rsid w:val="00C02AFB"/>
    <w:rsid w:val="00C055B2"/>
    <w:rsid w:val="00C344A2"/>
    <w:rsid w:val="00C46D3E"/>
    <w:rsid w:val="00C60C89"/>
    <w:rsid w:val="00C648DD"/>
    <w:rsid w:val="00C65C29"/>
    <w:rsid w:val="00C71AAD"/>
    <w:rsid w:val="00CB7672"/>
    <w:rsid w:val="00CD2905"/>
    <w:rsid w:val="00CD50B5"/>
    <w:rsid w:val="00CE34B6"/>
    <w:rsid w:val="00CE3B2B"/>
    <w:rsid w:val="00D06C4D"/>
    <w:rsid w:val="00D07B6A"/>
    <w:rsid w:val="00D10E75"/>
    <w:rsid w:val="00D2078D"/>
    <w:rsid w:val="00D84BF9"/>
    <w:rsid w:val="00D87837"/>
    <w:rsid w:val="00D91E2D"/>
    <w:rsid w:val="00D94A14"/>
    <w:rsid w:val="00DB6227"/>
    <w:rsid w:val="00DD5D3A"/>
    <w:rsid w:val="00DD69C8"/>
    <w:rsid w:val="00DD6D29"/>
    <w:rsid w:val="00DF4700"/>
    <w:rsid w:val="00E03CDC"/>
    <w:rsid w:val="00E12B68"/>
    <w:rsid w:val="00E71F75"/>
    <w:rsid w:val="00E803A4"/>
    <w:rsid w:val="00E836B0"/>
    <w:rsid w:val="00E93F75"/>
    <w:rsid w:val="00EC06AD"/>
    <w:rsid w:val="00EC726D"/>
    <w:rsid w:val="00EE7AA2"/>
    <w:rsid w:val="00F21EA7"/>
    <w:rsid w:val="00F23DF6"/>
    <w:rsid w:val="00F31E38"/>
    <w:rsid w:val="00F449DB"/>
    <w:rsid w:val="00F6104A"/>
    <w:rsid w:val="00F639A5"/>
    <w:rsid w:val="00F7037E"/>
    <w:rsid w:val="00F71B0C"/>
    <w:rsid w:val="00FB2B45"/>
    <w:rsid w:val="00FD174B"/>
    <w:rsid w:val="00FE294E"/>
    <w:rsid w:val="00FF2BC8"/>
    <w:rsid w:val="00FF70D2"/>
    <w:rsid w:val="00FF76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11E0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Без интервала"/>
    <w:uiPriority w:val="99"/>
    <w:rsid w:val="00E12B68"/>
    <w:rPr>
      <w:rFonts w:eastAsia="Times New Roman" w:cs="Calibri"/>
      <w:lang w:eastAsia="en-US"/>
    </w:rPr>
  </w:style>
  <w:style w:type="character" w:styleId="Hyperlink">
    <w:name w:val="Hyperlink"/>
    <w:basedOn w:val="DefaultParagraphFont"/>
    <w:uiPriority w:val="99"/>
    <w:rsid w:val="00CD2905"/>
    <w:rPr>
      <w:color w:val="0000FF"/>
      <w:u w:val="single"/>
    </w:rPr>
  </w:style>
  <w:style w:type="paragraph" w:customStyle="1" w:styleId="a0">
    <w:name w:val="Абзац списка"/>
    <w:basedOn w:val="Normal"/>
    <w:uiPriority w:val="99"/>
    <w:rsid w:val="003C6108"/>
    <w:pPr>
      <w:ind w:left="720"/>
    </w:pPr>
  </w:style>
  <w:style w:type="paragraph" w:styleId="Header">
    <w:name w:val="header"/>
    <w:basedOn w:val="Normal"/>
    <w:link w:val="HeaderChar1"/>
    <w:uiPriority w:val="99"/>
    <w:rsid w:val="00BA7FAE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81940"/>
    <w:rPr>
      <w:rFonts w:eastAsia="Times New Roman" w:cs="Calibri"/>
      <w:lang w:eastAsia="en-US"/>
    </w:rPr>
  </w:style>
  <w:style w:type="character" w:customStyle="1" w:styleId="HeaderChar1">
    <w:name w:val="Header Char1"/>
    <w:link w:val="Header"/>
    <w:uiPriority w:val="99"/>
    <w:locked/>
    <w:rsid w:val="00BA7FAE"/>
    <w:rPr>
      <w:sz w:val="22"/>
      <w:szCs w:val="22"/>
      <w:lang w:eastAsia="en-US"/>
    </w:rPr>
  </w:style>
  <w:style w:type="paragraph" w:styleId="Footer">
    <w:name w:val="footer"/>
    <w:basedOn w:val="Normal"/>
    <w:link w:val="FooterChar1"/>
    <w:uiPriority w:val="99"/>
    <w:rsid w:val="00BA7FA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81940"/>
    <w:rPr>
      <w:rFonts w:eastAsia="Times New Roman" w:cs="Calibri"/>
      <w:lang w:eastAsia="en-US"/>
    </w:rPr>
  </w:style>
  <w:style w:type="character" w:customStyle="1" w:styleId="FooterChar1">
    <w:name w:val="Footer Char1"/>
    <w:link w:val="Footer"/>
    <w:uiPriority w:val="99"/>
    <w:locked/>
    <w:rsid w:val="00BA7FAE"/>
    <w:rPr>
      <w:sz w:val="22"/>
      <w:szCs w:val="22"/>
      <w:lang w:eastAsia="en-US"/>
    </w:rPr>
  </w:style>
  <w:style w:type="paragraph" w:styleId="EndnoteText">
    <w:name w:val="endnote text"/>
    <w:basedOn w:val="Normal"/>
    <w:link w:val="EndnoteTextChar1"/>
    <w:uiPriority w:val="99"/>
    <w:semiHidden/>
    <w:rsid w:val="00F6104A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81940"/>
    <w:rPr>
      <w:rFonts w:eastAsia="Times New Roman" w:cs="Calibri"/>
      <w:sz w:val="20"/>
      <w:szCs w:val="20"/>
      <w:lang w:eastAsia="en-US"/>
    </w:rPr>
  </w:style>
  <w:style w:type="character" w:customStyle="1" w:styleId="EndnoteTextChar1">
    <w:name w:val="Endnote Text Char1"/>
    <w:link w:val="EndnoteText"/>
    <w:uiPriority w:val="99"/>
    <w:semiHidden/>
    <w:locked/>
    <w:rsid w:val="00F6104A"/>
    <w:rPr>
      <w:lang w:eastAsia="en-US"/>
    </w:rPr>
  </w:style>
  <w:style w:type="character" w:styleId="EndnoteReference">
    <w:name w:val="endnote reference"/>
    <w:basedOn w:val="DefaultParagraphFont"/>
    <w:uiPriority w:val="99"/>
    <w:semiHidden/>
    <w:rsid w:val="00F6104A"/>
    <w:rPr>
      <w:vertAlign w:val="superscript"/>
    </w:rPr>
  </w:style>
  <w:style w:type="paragraph" w:styleId="BalloonText">
    <w:name w:val="Balloon Text"/>
    <w:basedOn w:val="Normal"/>
    <w:link w:val="BalloonTextChar1"/>
    <w:uiPriority w:val="99"/>
    <w:semiHidden/>
    <w:rsid w:val="00872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1940"/>
    <w:rPr>
      <w:rFonts w:ascii="Times New Roman" w:eastAsia="Times New Roman" w:hAnsi="Times New Roman" w:cs="Calibri"/>
      <w:sz w:val="0"/>
      <w:szCs w:val="0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87292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99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9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amap.org.u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youtube.com/watch?v=IjD-Tp1dof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aee.gov.ua/sites/default/files/S_Savchuk_20_08_2019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3</Pages>
  <Words>712</Words>
  <Characters>4059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Понад 3,3 млрд євро інвестовано в «чисту» енергетику та енергоефективність України за 5 років завдяки ефективним законодавчим змінам</dc:title>
  <dc:subject/>
  <dc:creator>Заїка Таїсія М.</dc:creator>
  <cp:keywords/>
  <dc:description/>
  <cp:lastModifiedBy>KA</cp:lastModifiedBy>
  <cp:revision>3</cp:revision>
  <cp:lastPrinted>2019-08-20T06:34:00Z</cp:lastPrinted>
  <dcterms:created xsi:type="dcterms:W3CDTF">2019-08-22T05:07:00Z</dcterms:created>
  <dcterms:modified xsi:type="dcterms:W3CDTF">2019-08-22T05:15:00Z</dcterms:modified>
</cp:coreProperties>
</file>